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2F" w:rsidRDefault="003461F9" w:rsidP="00EB74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32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20"/>
          <w:u w:val="single"/>
        </w:rPr>
        <w:t>К</w:t>
      </w:r>
      <w:bookmarkStart w:id="0" w:name="_GoBack"/>
      <w:bookmarkEnd w:id="0"/>
      <w:r w:rsidR="0041658D">
        <w:rPr>
          <w:rFonts w:ascii="Times New Roman" w:hAnsi="Times New Roman" w:cs="Times New Roman"/>
          <w:b/>
          <w:i/>
          <w:sz w:val="32"/>
          <w:szCs w:val="20"/>
          <w:u w:val="single"/>
        </w:rPr>
        <w:t>ак подобрать мебель для ребенка?</w:t>
      </w:r>
    </w:p>
    <w:p w:rsidR="00EB747F" w:rsidRPr="00EB747F" w:rsidRDefault="00EB747F" w:rsidP="00EB74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32"/>
          <w:szCs w:val="20"/>
          <w:u w:val="single"/>
        </w:rPr>
      </w:pPr>
    </w:p>
    <w:p w:rsidR="005405FA" w:rsidRPr="00EB747F" w:rsidRDefault="005405FA" w:rsidP="00EB74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5405FA" w:rsidRDefault="00EB747F" w:rsidP="00EB74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b/>
          <w:szCs w:val="20"/>
        </w:rPr>
        <w:t>Сертификат соответствия.</w:t>
      </w:r>
      <w:r>
        <w:rPr>
          <w:rFonts w:ascii="Times New Roman" w:hAnsi="Times New Roman" w:cs="Times New Roman"/>
          <w:szCs w:val="20"/>
        </w:rPr>
        <w:t xml:space="preserve"> </w:t>
      </w:r>
      <w:r w:rsidR="005405FA" w:rsidRPr="00EB747F">
        <w:rPr>
          <w:rFonts w:ascii="Times New Roman" w:hAnsi="Times New Roman" w:cs="Times New Roman"/>
          <w:szCs w:val="20"/>
        </w:rPr>
        <w:t>Первое, о чем стоит знать каждому родителю при покупке мебели для ребенка – наличие сертификата соответствия данной мебельной продукции. Согласно техническому регламенту Таможенного союза 025/2012 "О безопасности мебельной продукции", мебель детская, мебель для учебных заведений, мебель для дошкольных учреждений подлежит обязат</w:t>
      </w:r>
      <w:r w:rsidR="00291417" w:rsidRPr="00EB747F">
        <w:rPr>
          <w:rFonts w:ascii="Times New Roman" w:hAnsi="Times New Roman" w:cs="Times New Roman"/>
          <w:szCs w:val="20"/>
        </w:rPr>
        <w:t>ельной сертификации. Кроме того, сертификат соответствия выбранной мебели должен быть действующий на момент ее производства. Проверить данный факт может любой человек, зайдя на сайт Федеральной службы по аккредитации «</w:t>
      </w:r>
      <w:proofErr w:type="spellStart"/>
      <w:r w:rsidR="00291417" w:rsidRPr="00EB747F">
        <w:rPr>
          <w:rFonts w:ascii="Times New Roman" w:hAnsi="Times New Roman" w:cs="Times New Roman"/>
          <w:szCs w:val="20"/>
        </w:rPr>
        <w:t>Росаккредитация</w:t>
      </w:r>
      <w:proofErr w:type="spellEnd"/>
      <w:r w:rsidR="00291417" w:rsidRPr="00EB747F">
        <w:rPr>
          <w:rFonts w:ascii="Times New Roman" w:hAnsi="Times New Roman" w:cs="Times New Roman"/>
          <w:szCs w:val="20"/>
        </w:rPr>
        <w:t xml:space="preserve">» </w:t>
      </w:r>
      <w:r w:rsidR="00291417" w:rsidRPr="00EB747F">
        <w:rPr>
          <w:rFonts w:ascii="Times New Roman" w:hAnsi="Times New Roman" w:cs="Times New Roman"/>
          <w:b/>
          <w:szCs w:val="20"/>
        </w:rPr>
        <w:t>fsa.gov.ru</w:t>
      </w:r>
      <w:r w:rsidR="00291417" w:rsidRPr="00EB747F">
        <w:rPr>
          <w:rFonts w:ascii="Times New Roman" w:hAnsi="Times New Roman" w:cs="Times New Roman"/>
          <w:szCs w:val="20"/>
        </w:rPr>
        <w:t xml:space="preserve"> в раздел «Единый реестр сертификатов соответствия». </w:t>
      </w:r>
    </w:p>
    <w:p w:rsidR="0041658D" w:rsidRPr="0041658D" w:rsidRDefault="0041658D" w:rsidP="0041658D">
      <w:pPr>
        <w:autoSpaceDE w:val="0"/>
        <w:autoSpaceDN w:val="0"/>
        <w:adjustRightInd w:val="0"/>
        <w:spacing w:after="0" w:line="276" w:lineRule="auto"/>
        <w:ind w:left="-218"/>
        <w:jc w:val="both"/>
        <w:rPr>
          <w:rFonts w:ascii="Times New Roman" w:hAnsi="Times New Roman" w:cs="Times New Roman"/>
          <w:szCs w:val="20"/>
        </w:rPr>
      </w:pPr>
    </w:p>
    <w:p w:rsidR="002F522F" w:rsidRPr="00EB747F" w:rsidRDefault="00EB747F" w:rsidP="00EB747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b/>
          <w:szCs w:val="20"/>
        </w:rPr>
        <w:t>Маркировка.</w:t>
      </w:r>
      <w:r>
        <w:rPr>
          <w:rFonts w:ascii="Times New Roman" w:hAnsi="Times New Roman" w:cs="Times New Roman"/>
          <w:szCs w:val="20"/>
        </w:rPr>
        <w:t xml:space="preserve"> </w:t>
      </w:r>
      <w:r w:rsidR="00291417" w:rsidRPr="00EB747F">
        <w:rPr>
          <w:rFonts w:ascii="Times New Roman" w:hAnsi="Times New Roman" w:cs="Times New Roman"/>
          <w:szCs w:val="20"/>
        </w:rPr>
        <w:t>Также, важно обращать внимание на маркировочный ярлык. Маркировка должна быть четкой и содержать</w:t>
      </w:r>
      <w:r w:rsidR="0041658D">
        <w:rPr>
          <w:rFonts w:ascii="Times New Roman" w:hAnsi="Times New Roman" w:cs="Times New Roman"/>
          <w:szCs w:val="20"/>
        </w:rPr>
        <w:t xml:space="preserve"> следующую информацию</w:t>
      </w:r>
      <w:r w:rsidR="00291417" w:rsidRPr="00EB747F">
        <w:rPr>
          <w:rFonts w:ascii="Times New Roman" w:hAnsi="Times New Roman" w:cs="Times New Roman"/>
          <w:szCs w:val="20"/>
        </w:rPr>
        <w:t>:</w:t>
      </w:r>
    </w:p>
    <w:p w:rsidR="002F522F" w:rsidRPr="00EB747F" w:rsidRDefault="002F522F" w:rsidP="00EB74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наименование изделия мебели по эксплуатационному и функциональному назначению, обозначение изделия (цифровое, собственное, модель и тому подобное);</w:t>
      </w:r>
    </w:p>
    <w:p w:rsidR="002F522F" w:rsidRPr="00EB747F" w:rsidRDefault="002F522F" w:rsidP="00EB74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товарный знак (логотип) изготовителя (при наличии);</w:t>
      </w:r>
    </w:p>
    <w:p w:rsidR="002F522F" w:rsidRPr="00EB747F" w:rsidRDefault="002F522F" w:rsidP="00EB74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наименование страны изготовителя;</w:t>
      </w:r>
    </w:p>
    <w:p w:rsidR="002F522F" w:rsidRPr="00EB747F" w:rsidRDefault="002F522F" w:rsidP="00EB74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наименование и местонахождение изготовителя;</w:t>
      </w:r>
    </w:p>
    <w:p w:rsidR="002F522F" w:rsidRPr="00EB747F" w:rsidRDefault="002F522F" w:rsidP="00EB74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наименование, юридический и фактический адрес уполномоченного изготовителем лица, импортера;</w:t>
      </w:r>
    </w:p>
    <w:p w:rsidR="002F522F" w:rsidRPr="00EB747F" w:rsidRDefault="002F522F" w:rsidP="00EB74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дату изготовления;</w:t>
      </w:r>
    </w:p>
    <w:p w:rsidR="002F522F" w:rsidRPr="00EB747F" w:rsidRDefault="002F522F" w:rsidP="00EB74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гарантийный срок;</w:t>
      </w:r>
    </w:p>
    <w:p w:rsidR="002F522F" w:rsidRPr="00EB747F" w:rsidRDefault="002F522F" w:rsidP="00EB74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срок службы, установленный изготовителем;</w:t>
      </w:r>
    </w:p>
    <w:p w:rsidR="002F522F" w:rsidRPr="00EB747F" w:rsidRDefault="002F522F" w:rsidP="00EB74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единый знак обращения продукции на рынке государств - членов Таможенного союза.</w:t>
      </w:r>
    </w:p>
    <w:p w:rsidR="002F522F" w:rsidRDefault="002F522F" w:rsidP="00EB747F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В маркировке детских и ученических стульев, столов, парт для общественных помещений дополнительно должны быть указаны: в числителе - их ростовой номер, в знаменателе - средний рост детей.</w:t>
      </w:r>
    </w:p>
    <w:p w:rsidR="00EB747F" w:rsidRPr="00EB747F" w:rsidRDefault="00EB747F" w:rsidP="00EB747F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76" w:lineRule="auto"/>
        <w:ind w:left="142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b/>
          <w:szCs w:val="20"/>
        </w:rPr>
        <w:t>Соответствие санитарно-гигиеническим требованиям.</w:t>
      </w:r>
      <w:r>
        <w:rPr>
          <w:rFonts w:ascii="Times New Roman" w:hAnsi="Times New Roman" w:cs="Times New Roman"/>
          <w:szCs w:val="20"/>
        </w:rPr>
        <w:t xml:space="preserve"> </w:t>
      </w:r>
      <w:r w:rsidR="00291417" w:rsidRPr="00EB747F">
        <w:rPr>
          <w:rFonts w:ascii="Times New Roman" w:hAnsi="Times New Roman" w:cs="Times New Roman"/>
          <w:szCs w:val="20"/>
        </w:rPr>
        <w:t>Не менее важно учитывать тот факт, что у</w:t>
      </w:r>
      <w:r w:rsidR="002F522F" w:rsidRPr="00EB747F">
        <w:rPr>
          <w:rFonts w:ascii="Times New Roman" w:hAnsi="Times New Roman" w:cs="Times New Roman"/>
          <w:szCs w:val="20"/>
        </w:rPr>
        <w:t xml:space="preserve">ченическая мебель должна быть изготовлена из материалов, безвредных для здоровья детей, и соответствовать </w:t>
      </w:r>
      <w:proofErr w:type="spellStart"/>
      <w:r w:rsidR="002F522F" w:rsidRPr="00EB747F">
        <w:rPr>
          <w:rFonts w:ascii="Times New Roman" w:hAnsi="Times New Roman" w:cs="Times New Roman"/>
          <w:szCs w:val="20"/>
        </w:rPr>
        <w:t>росто</w:t>
      </w:r>
      <w:proofErr w:type="spellEnd"/>
      <w:r w:rsidR="002F522F" w:rsidRPr="00EB747F">
        <w:rPr>
          <w:rFonts w:ascii="Times New Roman" w:hAnsi="Times New Roman" w:cs="Times New Roman"/>
          <w:szCs w:val="20"/>
        </w:rPr>
        <w:t>-возрастным особенностям детей и требованиям эргономики.</w:t>
      </w:r>
      <w:r w:rsidR="00291417" w:rsidRPr="00EB747F">
        <w:rPr>
          <w:rFonts w:ascii="Times New Roman" w:hAnsi="Times New Roman" w:cs="Times New Roman"/>
          <w:szCs w:val="20"/>
        </w:rPr>
        <w:t xml:space="preserve"> </w:t>
      </w:r>
    </w:p>
    <w:p w:rsidR="002F522F" w:rsidRPr="00EB747F" w:rsidRDefault="00291417" w:rsidP="00EB747F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Школьные парты должны быть обеспечены регулятором наклона поверхности рабочей плоскости.</w:t>
      </w:r>
    </w:p>
    <w:p w:rsidR="002F522F" w:rsidRPr="00EB747F" w:rsidRDefault="002F522F" w:rsidP="00EB747F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Times New Roman" w:hAnsi="Times New Roman" w:cs="Times New Roman"/>
          <w:szCs w:val="20"/>
        </w:rPr>
      </w:pPr>
      <w:r w:rsidRPr="00EB747F">
        <w:rPr>
          <w:rFonts w:ascii="Times New Roman" w:hAnsi="Times New Roman" w:cs="Times New Roman"/>
          <w:szCs w:val="20"/>
        </w:rPr>
        <w:t>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EB747F" w:rsidRPr="00EB747F" w:rsidTr="00EB747F">
        <w:trPr>
          <w:trHeight w:val="1203"/>
        </w:trPr>
        <w:tc>
          <w:tcPr>
            <w:tcW w:w="4718" w:type="dxa"/>
            <w:shd w:val="clear" w:color="auto" w:fill="auto"/>
          </w:tcPr>
          <w:p w:rsidR="00EB747F" w:rsidRDefault="00EB747F" w:rsidP="00DD7F67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B747F" w:rsidRPr="00EB747F" w:rsidRDefault="00EB747F" w:rsidP="00DD7F67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EB747F" w:rsidRPr="00EB747F" w:rsidRDefault="00EB747F" w:rsidP="00DD7F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EB747F">
              <w:rPr>
                <w:rFonts w:ascii="Times New Roman" w:hAnsi="Times New Roman" w:cs="Times New Roman"/>
                <w:sz w:val="20"/>
              </w:rPr>
              <w:t xml:space="preserve">Врач </w:t>
            </w:r>
            <w:proofErr w:type="spellStart"/>
            <w:r w:rsidRPr="00EB747F">
              <w:rPr>
                <w:rFonts w:ascii="Times New Roman" w:hAnsi="Times New Roman" w:cs="Times New Roman"/>
                <w:sz w:val="20"/>
              </w:rPr>
              <w:t>ОЭУВиО</w:t>
            </w:r>
            <w:proofErr w:type="spellEnd"/>
            <w:r w:rsidRPr="00EB747F">
              <w:rPr>
                <w:rFonts w:ascii="Times New Roman" w:hAnsi="Times New Roman" w:cs="Times New Roman"/>
                <w:sz w:val="20"/>
              </w:rPr>
              <w:t xml:space="preserve"> Ф</w:t>
            </w:r>
            <w:r w:rsidRPr="00EB747F">
              <w:rPr>
                <w:rFonts w:ascii="Times New Roman" w:hAnsi="Times New Roman"/>
                <w:sz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EB747F">
              <w:rPr>
                <w:rFonts w:ascii="Times New Roman" w:hAnsi="Times New Roman"/>
                <w:sz w:val="20"/>
                <w:lang w:eastAsia="ru-RU"/>
              </w:rPr>
              <w:t>Сысертском</w:t>
            </w:r>
            <w:proofErr w:type="spellEnd"/>
            <w:r w:rsidRPr="00EB747F">
              <w:rPr>
                <w:rFonts w:ascii="Times New Roman" w:hAnsi="Times New Roman"/>
                <w:sz w:val="20"/>
                <w:lang w:eastAsia="ru-RU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EB747F" w:rsidRPr="00EB747F" w:rsidRDefault="00EB747F" w:rsidP="00DD7F67">
            <w:pPr>
              <w:tabs>
                <w:tab w:val="left" w:pos="2758"/>
              </w:tabs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EB747F">
              <w:rPr>
                <w:rFonts w:ascii="Times New Roman" w:hAnsi="Times New Roman" w:cs="Times New Roman"/>
                <w:sz w:val="20"/>
              </w:rPr>
              <w:tab/>
            </w:r>
          </w:p>
          <w:p w:rsidR="00EB747F" w:rsidRPr="00EB747F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EB747F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EB747F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   </w:t>
            </w:r>
            <w:r w:rsidRPr="00EB747F">
              <w:rPr>
                <w:rFonts w:ascii="Times New Roman" w:eastAsia="Calibri" w:hAnsi="Times New Roman" w:cs="Times New Roman"/>
                <w:sz w:val="20"/>
              </w:rPr>
              <w:t>Ю.Е. Ходакова</w:t>
            </w:r>
          </w:p>
        </w:tc>
      </w:tr>
    </w:tbl>
    <w:p w:rsidR="00EB747F" w:rsidRPr="00EB747F" w:rsidRDefault="00EB747F" w:rsidP="00EB747F">
      <w:pPr>
        <w:shd w:val="clear" w:color="auto" w:fill="FFFFFF"/>
        <w:spacing w:before="730" w:line="240" w:lineRule="auto"/>
        <w:rPr>
          <w:rFonts w:ascii="Times New Roman" w:eastAsia="Calibri" w:hAnsi="Times New Roman" w:cs="Times New Roman"/>
          <w:sz w:val="20"/>
        </w:rPr>
      </w:pPr>
      <w:r w:rsidRPr="00EB747F">
        <w:rPr>
          <w:rFonts w:ascii="Times New Roman" w:eastAsia="Calibri" w:hAnsi="Times New Roman" w:cs="Times New Roman"/>
          <w:spacing w:val="-4"/>
          <w:sz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EB747F" w:rsidRPr="00EB747F" w:rsidTr="00DD7F67">
        <w:tc>
          <w:tcPr>
            <w:tcW w:w="4786" w:type="dxa"/>
            <w:shd w:val="clear" w:color="auto" w:fill="auto"/>
          </w:tcPr>
          <w:p w:rsidR="00EB747F" w:rsidRPr="00EB747F" w:rsidRDefault="00EB747F" w:rsidP="00DD7F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EB747F">
              <w:rPr>
                <w:rFonts w:ascii="Times New Roman" w:eastAsia="Calibri" w:hAnsi="Times New Roman" w:cs="Times New Roman"/>
                <w:sz w:val="20"/>
              </w:rPr>
              <w:t xml:space="preserve">Главный государственный санитарный врач в Чкаловском районе города Екатеринбурга, в городе Полевской и в </w:t>
            </w:r>
            <w:proofErr w:type="spellStart"/>
            <w:r w:rsidRPr="00EB747F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EB747F">
              <w:rPr>
                <w:rFonts w:ascii="Times New Roman" w:eastAsia="Calibri" w:hAnsi="Times New Roman" w:cs="Times New Roman"/>
                <w:sz w:val="20"/>
              </w:rPr>
              <w:t xml:space="preserve"> районе, начальник Территориального отдела Управления </w:t>
            </w:r>
            <w:proofErr w:type="spellStart"/>
            <w:r w:rsidRPr="00EB747F">
              <w:rPr>
                <w:rFonts w:ascii="Times New Roman" w:eastAsia="Calibri" w:hAnsi="Times New Roman" w:cs="Times New Roman"/>
                <w:sz w:val="20"/>
              </w:rPr>
              <w:t>Роспотребнадзора</w:t>
            </w:r>
            <w:proofErr w:type="spellEnd"/>
            <w:r w:rsidRPr="00EB747F">
              <w:rPr>
                <w:rFonts w:ascii="Times New Roman" w:eastAsia="Calibri" w:hAnsi="Times New Roman" w:cs="Times New Roman"/>
                <w:sz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EB747F">
              <w:rPr>
                <w:rFonts w:ascii="Times New Roman" w:eastAsia="Calibri" w:hAnsi="Times New Roman" w:cs="Times New Roman"/>
                <w:sz w:val="20"/>
              </w:rPr>
              <w:t>Сысертском</w:t>
            </w:r>
            <w:proofErr w:type="spellEnd"/>
            <w:r w:rsidRPr="00EB747F">
              <w:rPr>
                <w:rFonts w:ascii="Times New Roman" w:eastAsia="Calibri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4751" w:type="dxa"/>
            <w:shd w:val="clear" w:color="auto" w:fill="auto"/>
          </w:tcPr>
          <w:p w:rsidR="00EB747F" w:rsidRPr="00EB747F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EB747F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:rsidR="00EB747F" w:rsidRPr="00EB747F" w:rsidRDefault="00EB747F" w:rsidP="00DD7F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B747F" w:rsidRPr="00EB747F" w:rsidRDefault="00EB747F" w:rsidP="00DD7F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                                </w:t>
            </w:r>
            <w:r w:rsidRPr="00EB747F">
              <w:rPr>
                <w:rFonts w:ascii="Times New Roman" w:eastAsia="Calibri" w:hAnsi="Times New Roman" w:cs="Times New Roman"/>
                <w:sz w:val="20"/>
              </w:rPr>
              <w:t xml:space="preserve">Е.П. </w:t>
            </w:r>
            <w:proofErr w:type="spellStart"/>
            <w:r w:rsidRPr="00EB747F">
              <w:rPr>
                <w:rFonts w:ascii="Times New Roman" w:eastAsia="Calibri" w:hAnsi="Times New Roman" w:cs="Times New Roman"/>
                <w:sz w:val="20"/>
              </w:rPr>
              <w:t>Потапкина</w:t>
            </w:r>
            <w:proofErr w:type="spellEnd"/>
          </w:p>
        </w:tc>
      </w:tr>
    </w:tbl>
    <w:p w:rsidR="002F522F" w:rsidRPr="00EB747F" w:rsidRDefault="002F522F" w:rsidP="00EB747F">
      <w:pPr>
        <w:rPr>
          <w:rFonts w:ascii="Times New Roman" w:hAnsi="Times New Roman" w:cs="Times New Roman"/>
          <w:sz w:val="24"/>
        </w:rPr>
      </w:pPr>
    </w:p>
    <w:sectPr w:rsidR="002F522F" w:rsidRPr="00EB747F" w:rsidSect="00EB747F"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7EFC"/>
    <w:multiLevelType w:val="hybridMultilevel"/>
    <w:tmpl w:val="B0DA1BA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28747AA"/>
    <w:multiLevelType w:val="hybridMultilevel"/>
    <w:tmpl w:val="9BE87FA6"/>
    <w:lvl w:ilvl="0" w:tplc="7DA45DF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8B"/>
    <w:rsid w:val="00291417"/>
    <w:rsid w:val="002F522F"/>
    <w:rsid w:val="003461F9"/>
    <w:rsid w:val="0041658D"/>
    <w:rsid w:val="005405FA"/>
    <w:rsid w:val="00907BA5"/>
    <w:rsid w:val="00A9118B"/>
    <w:rsid w:val="00E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F653"/>
  <w15:chartTrackingRefBased/>
  <w15:docId w15:val="{21867705-54A8-44A5-8AAA-B019E6DD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Е. Ходакова</dc:creator>
  <cp:keywords/>
  <dc:description/>
  <cp:lastModifiedBy>Юлия Е. Ходакова</cp:lastModifiedBy>
  <cp:revision>4</cp:revision>
  <dcterms:created xsi:type="dcterms:W3CDTF">2018-09-28T04:37:00Z</dcterms:created>
  <dcterms:modified xsi:type="dcterms:W3CDTF">2018-10-01T10:00:00Z</dcterms:modified>
</cp:coreProperties>
</file>